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7B8" w:rsidRPr="001B464B" w:rsidRDefault="001E37B8" w:rsidP="001E37B8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【別紙2】のフロー図</w:t>
      </w:r>
    </w:p>
    <w:p w:rsidR="001E37B8" w:rsidRPr="001B464B" w:rsidRDefault="001E37B8" w:rsidP="001E37B8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:rsidR="001E37B8" w:rsidRPr="001B464B" w:rsidRDefault="001E37B8" w:rsidP="001E37B8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:rsidR="001E37B8" w:rsidRPr="001B464B" w:rsidRDefault="001E37B8" w:rsidP="001E37B8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:rsidR="001E37B8" w:rsidRPr="001B464B" w:rsidRDefault="001E37B8" w:rsidP="001E37B8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:rsidR="001E37B8" w:rsidRPr="001B464B" w:rsidRDefault="001E37B8" w:rsidP="001E37B8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</w:p>
    <w:p w:rsidR="001E37B8" w:rsidRPr="001B464B" w:rsidRDefault="001E37B8" w:rsidP="001E37B8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「発電利用に供する木質バイオマスの証明」に係る事業者認定申請</w:t>
      </w:r>
    </w:p>
    <w:p w:rsidR="001E37B8" w:rsidRPr="001B464B" w:rsidRDefault="001E37B8" w:rsidP="001E37B8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sz w:val="40"/>
          <w:szCs w:val="4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フロー図（原料入荷から出荷までの工程等）</w:t>
      </w:r>
    </w:p>
    <w:p w:rsidR="001E37B8" w:rsidRPr="001B464B" w:rsidRDefault="001E37B8" w:rsidP="001E37B8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:rsidR="001E37B8" w:rsidRPr="001B464B" w:rsidRDefault="001E37B8" w:rsidP="001E37B8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:rsidR="001E37B8" w:rsidRPr="001B464B" w:rsidRDefault="001E37B8" w:rsidP="001E37B8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:rsidR="001E37B8" w:rsidRPr="001B464B" w:rsidRDefault="001E37B8" w:rsidP="001E37B8">
      <w:pPr>
        <w:spacing w:beforeLines="50" w:before="180"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事業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者：　</w:t>
      </w:r>
      <w:r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　             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:rsidR="001E37B8" w:rsidRPr="001B464B" w:rsidRDefault="001E37B8" w:rsidP="001E37B8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（住　所：　</w:t>
      </w:r>
      <w:r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　                   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:rsidR="001E37B8" w:rsidRPr="001B464B" w:rsidRDefault="001E37B8" w:rsidP="001E37B8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（分別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管理</w:t>
      </w:r>
      <w:r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  <w:t>・GHG関連情報管理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責任者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：　</w:t>
      </w:r>
      <w:r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 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:rsidR="001E37B8" w:rsidRPr="001B464B" w:rsidRDefault="001E37B8" w:rsidP="001E37B8">
      <w:pPr>
        <w:widowControl/>
        <w:rPr>
          <w:rFonts w:ascii="HG丸ｺﾞｼｯｸM-PRO" w:eastAsia="HG丸ｺﾞｼｯｸM-PRO" w:hAnsi="Century" w:cs="Times New Roman"/>
          <w:sz w:val="20"/>
          <w:szCs w:val="20"/>
        </w:rPr>
      </w:pPr>
    </w:p>
    <w:p w:rsidR="001E37B8" w:rsidRPr="001B464B" w:rsidRDefault="001E37B8" w:rsidP="001E37B8">
      <w:pPr>
        <w:widowControl/>
        <w:rPr>
          <w:rFonts w:ascii="HG丸ｺﾞｼｯｸM-PRO" w:eastAsia="HG丸ｺﾞｼｯｸM-PRO" w:hAnsi="Century" w:cs="Times New Roman"/>
          <w:sz w:val="20"/>
          <w:szCs w:val="20"/>
        </w:rPr>
      </w:pPr>
    </w:p>
    <w:p w:rsidR="001E37B8" w:rsidRPr="001B464B" w:rsidRDefault="001E37B8" w:rsidP="001E37B8">
      <w:pPr>
        <w:widowControl/>
        <w:jc w:val="left"/>
        <w:rPr>
          <w:rFonts w:ascii="HG丸ｺﾞｼｯｸM-PRO" w:eastAsia="HG丸ｺﾞｼｯｸM-PRO" w:hAnsi="Century" w:cs="Times New Roman"/>
          <w:sz w:val="20"/>
          <w:szCs w:val="20"/>
        </w:rPr>
      </w:pPr>
    </w:p>
    <w:tbl>
      <w:tblPr>
        <w:tblStyle w:val="aa"/>
        <w:tblW w:w="9483" w:type="dxa"/>
        <w:tblLook w:val="04A0" w:firstRow="1" w:lastRow="0" w:firstColumn="1" w:lastColumn="0" w:noHBand="0" w:noVBand="1"/>
      </w:tblPr>
      <w:tblGrid>
        <w:gridCol w:w="2259"/>
        <w:gridCol w:w="1695"/>
        <w:gridCol w:w="2127"/>
        <w:gridCol w:w="1977"/>
        <w:gridCol w:w="1425"/>
      </w:tblGrid>
      <w:tr w:rsidR="001E37B8" w:rsidRPr="001B464B" w:rsidTr="00560E96">
        <w:trPr>
          <w:trHeight w:val="73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木材の用途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入荷時の置場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加工場所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出荷時の置場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出荷先</w:t>
            </w:r>
          </w:p>
        </w:tc>
      </w:tr>
      <w:tr w:rsidR="001E37B8" w:rsidRPr="001B464B" w:rsidTr="00560E96">
        <w:trPr>
          <w:trHeight w:val="70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A0428" wp14:editId="001E1693">
                      <wp:simplePos x="0" y="0"/>
                      <wp:positionH relativeFrom="column">
                        <wp:posOffset>1310478</wp:posOffset>
                      </wp:positionH>
                      <wp:positionV relativeFrom="paragraph">
                        <wp:posOffset>425450</wp:posOffset>
                      </wp:positionV>
                      <wp:extent cx="3616325" cy="859790"/>
                      <wp:effectExtent l="0" t="0" r="0" b="0"/>
                      <wp:wrapNone/>
                      <wp:docPr id="3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325" cy="859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37B8" w:rsidRPr="00CC28E5" w:rsidRDefault="001E37B8" w:rsidP="001E37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28"/>
                                      <w:highlight w:val="lightGray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※「記載例②-3」参照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A04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103.2pt;margin-top:33.5pt;width:284.7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oGA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" filled="f" stroked="f" strokeweight=".5pt">
                      <v:textbox>
                        <w:txbxContent>
                          <w:p w:rsidR="001E37B8" w:rsidRPr="00CC28E5" w:rsidRDefault="001E37B8" w:rsidP="001E37B8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highlight w:val="lightGray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※「記載例②-3」参照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50" w:before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50" w:before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righ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E37B8" w:rsidRPr="001B464B" w:rsidTr="00560E96">
        <w:trPr>
          <w:trHeight w:val="685"/>
        </w:trPr>
        <w:tc>
          <w:tcPr>
            <w:tcW w:w="2259" w:type="dxa"/>
            <w:tcBorders>
              <w:lef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E37B8" w:rsidRPr="001B464B" w:rsidRDefault="001E37B8" w:rsidP="00560E96">
            <w:pPr>
              <w:widowControl/>
              <w:spacing w:beforeLines="102" w:before="36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E37B8" w:rsidRPr="001B464B" w:rsidRDefault="001E37B8" w:rsidP="00560E96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E37B8" w:rsidRPr="001B464B" w:rsidTr="00560E96">
        <w:trPr>
          <w:trHeight w:val="708"/>
        </w:trPr>
        <w:tc>
          <w:tcPr>
            <w:tcW w:w="2259" w:type="dxa"/>
            <w:tcBorders>
              <w:lef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E37B8" w:rsidRPr="001B464B" w:rsidRDefault="001E37B8" w:rsidP="00560E96">
            <w:pPr>
              <w:pStyle w:val="a9"/>
              <w:widowControl/>
              <w:spacing w:beforeLines="102" w:before="367"/>
              <w:ind w:left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2127" w:type="dxa"/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E37B8" w:rsidRPr="001B464B" w:rsidRDefault="001E37B8" w:rsidP="00560E96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E37B8" w:rsidRPr="001B464B" w:rsidTr="00560E96">
        <w:trPr>
          <w:trHeight w:val="691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102" w:before="36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auto"/>
              <w:right w:val="single" w:sz="12" w:space="0" w:color="auto"/>
            </w:tcBorders>
          </w:tcPr>
          <w:p w:rsidR="001E37B8" w:rsidRPr="001B464B" w:rsidRDefault="001E37B8" w:rsidP="00560E96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1E37B8" w:rsidRPr="001B464B" w:rsidRDefault="001E37B8" w:rsidP="001E37B8">
      <w:pPr>
        <w:widowControl/>
        <w:jc w:val="left"/>
        <w:rPr>
          <w:rFonts w:ascii="HG丸ｺﾞｼｯｸM-PRO" w:eastAsia="HG丸ｺﾞｼｯｸM-PRO" w:hAnsi="Century" w:cs="Times New Roman"/>
          <w:sz w:val="20"/>
          <w:szCs w:val="20"/>
        </w:rPr>
      </w:pPr>
    </w:p>
    <w:p w:rsidR="001E37B8" w:rsidRPr="001B464B" w:rsidRDefault="001E37B8" w:rsidP="001E37B8">
      <w:pPr>
        <w:widowControl/>
        <w:jc w:val="left"/>
        <w:rPr>
          <w:rFonts w:ascii="HG丸ｺﾞｼｯｸM-PRO" w:eastAsia="HG丸ｺﾞｼｯｸM-PRO" w:hAnsi="Century" w:cs="Times New Roman"/>
          <w:b/>
          <w:bCs/>
          <w:sz w:val="20"/>
          <w:szCs w:val="20"/>
        </w:rPr>
      </w:pPr>
    </w:p>
    <w:p w:rsidR="001E37B8" w:rsidRPr="001B464B" w:rsidRDefault="001E37B8" w:rsidP="001E37B8">
      <w:pPr>
        <w:widowControl/>
        <w:spacing w:line="0" w:lineRule="atLeast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注）番号や記号（例：①、</w:t>
      </w:r>
      <w:r w:rsidRPr="001B464B">
        <w:rPr>
          <w:rFonts w:ascii="HG丸ｺﾞｼｯｸM-PRO" w:eastAsia="HG丸ｺﾞｼｯｸM-PRO" w:hAnsi="Century" w:cs="Times New Roman"/>
          <w:b/>
          <w:bCs/>
          <w:sz w:val="22"/>
        </w:rPr>
        <w:fldChar w:fldCharType="begin"/>
      </w:r>
      <w:r w:rsidRPr="001B464B">
        <w:rPr>
          <w:rFonts w:ascii="HG丸ｺﾞｼｯｸM-PRO" w:eastAsia="HG丸ｺﾞｼｯｸM-PRO" w:hAnsi="Century" w:cs="Times New Roman"/>
          <w:b/>
          <w:bCs/>
          <w:sz w:val="22"/>
        </w:rPr>
        <w:instrText xml:space="preserve"> </w:instrTex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2"/>
        </w:rPr>
        <w:instrText>eq \o\ac(</w:instrText>
      </w:r>
      <w:r w:rsidRPr="001B464B">
        <w:rPr>
          <w:rFonts w:ascii="HG丸ｺﾞｼｯｸM-PRO" w:eastAsia="HG丸ｺﾞｼｯｸM-PRO" w:hAnsi="Century" w:cs="Times New Roman" w:hint="eastAsia"/>
          <w:b/>
          <w:bCs/>
          <w:position w:val="-4"/>
          <w:sz w:val="32"/>
        </w:rPr>
        <w:instrText>○</w:instrTex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2"/>
        </w:rPr>
        <w:instrText>,Ａ)</w:instrText>
      </w:r>
      <w:r w:rsidRPr="001B464B">
        <w:rPr>
          <w:rFonts w:ascii="HG丸ｺﾞｼｯｸM-PRO" w:eastAsia="HG丸ｺﾞｼｯｸM-PRO" w:hAnsi="Century" w:cs="Times New Roman"/>
          <w:b/>
          <w:bCs/>
          <w:sz w:val="22"/>
        </w:rPr>
        <w:fldChar w:fldCharType="end"/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 等）は、【別紙2】「配置状況」および、【別紙2】の別表</w:t>
      </w:r>
    </w:p>
    <w:p w:rsidR="00D34877" w:rsidRPr="001E37B8" w:rsidRDefault="001E37B8" w:rsidP="001E37B8">
      <w:pPr>
        <w:widowControl/>
        <w:spacing w:line="0" w:lineRule="atLeast"/>
        <w:ind w:firstLineChars="150" w:firstLine="361"/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「配置状況 説明書」と一致させること。</w:t>
      </w:r>
    </w:p>
    <w:sectPr w:rsidR="00D34877" w:rsidRPr="001E37B8" w:rsidSect="00D34877">
      <w:pgSz w:w="11906" w:h="16838"/>
      <w:pgMar w:top="709" w:right="849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2E21"/>
    <w:multiLevelType w:val="hybridMultilevel"/>
    <w:tmpl w:val="6B5293B4"/>
    <w:lvl w:ilvl="0" w:tplc="C83AD0D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8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7"/>
    <w:rsid w:val="001E35AE"/>
    <w:rsid w:val="001E37B8"/>
    <w:rsid w:val="00B9322F"/>
    <w:rsid w:val="00D34877"/>
    <w:rsid w:val="00E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661DF"/>
  <w15:chartTrackingRefBased/>
  <w15:docId w15:val="{91F377C5-77EB-4A58-84CA-55E6198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7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87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4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48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48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48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34877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4</cp:revision>
  <dcterms:created xsi:type="dcterms:W3CDTF">2025-03-28T07:44:00Z</dcterms:created>
  <dcterms:modified xsi:type="dcterms:W3CDTF">2025-03-28T07:55:00Z</dcterms:modified>
</cp:coreProperties>
</file>